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4F95C" w14:textId="1E1311C7" w:rsidR="00F60165" w:rsidRDefault="008311E9">
      <w:pPr>
        <w:rPr>
          <w:b/>
          <w:bCs/>
        </w:rPr>
      </w:pPr>
      <w:r w:rsidRPr="008311E9">
        <w:rPr>
          <w:b/>
          <w:bCs/>
        </w:rPr>
        <w:t>Checklist for Submitting a POR Grant</w:t>
      </w:r>
      <w:r>
        <w:rPr>
          <w:b/>
          <w:bCs/>
        </w:rPr>
        <w:t xml:space="preserve"> Proposal</w:t>
      </w:r>
    </w:p>
    <w:p w14:paraId="5C9DB3BE" w14:textId="3D645186" w:rsidR="00A545CB" w:rsidRPr="00A545CB" w:rsidRDefault="00A545CB">
      <w:r w:rsidRPr="00A545CB">
        <w:t xml:space="preserve">This checklist has been prepared to assist you in the necessary steps to </w:t>
      </w:r>
      <w:r w:rsidR="00145EFA">
        <w:t>including</w:t>
      </w:r>
      <w:r w:rsidR="00145EFA" w:rsidRPr="00A545CB">
        <w:t xml:space="preserve"> </w:t>
      </w:r>
      <w:r w:rsidRPr="00A545CB">
        <w:t xml:space="preserve">a patient partner </w:t>
      </w:r>
      <w:r w:rsidR="00145EFA">
        <w:t>as a member of your team’s</w:t>
      </w:r>
      <w:r w:rsidRPr="00A545CB">
        <w:t xml:space="preserve"> grant application. </w:t>
      </w:r>
      <w:r w:rsidRPr="002F3463">
        <w:rPr>
          <w:u w:val="single"/>
        </w:rPr>
        <w:t>There are two access points to the checklist</w:t>
      </w:r>
      <w:r w:rsidRPr="00A545CB">
        <w:t>:</w:t>
      </w:r>
    </w:p>
    <w:p w14:paraId="1DCE567F" w14:textId="157C6417" w:rsidR="00A545CB" w:rsidRPr="00A545CB" w:rsidRDefault="00A545CB" w:rsidP="00A545CB">
      <w:pPr>
        <w:pStyle w:val="ListParagraph"/>
        <w:numPr>
          <w:ilvl w:val="0"/>
          <w:numId w:val="4"/>
        </w:numPr>
      </w:pPr>
      <w:r w:rsidRPr="00A545CB">
        <w:t xml:space="preserve">If you </w:t>
      </w:r>
      <w:r w:rsidRPr="00A545CB">
        <w:rPr>
          <w:u w:val="single"/>
        </w:rPr>
        <w:t>do not</w:t>
      </w:r>
      <w:r w:rsidRPr="00A545CB">
        <w:t xml:space="preserve"> have a patient partner start at Step #1</w:t>
      </w:r>
    </w:p>
    <w:p w14:paraId="60187855" w14:textId="599A65FF" w:rsidR="00A545CB" w:rsidRPr="00A545CB" w:rsidRDefault="00A545CB" w:rsidP="00A545CB">
      <w:pPr>
        <w:pStyle w:val="ListParagraph"/>
        <w:numPr>
          <w:ilvl w:val="0"/>
          <w:numId w:val="4"/>
        </w:numPr>
      </w:pPr>
      <w:r w:rsidRPr="00A545CB">
        <w:t xml:space="preserve">If you </w:t>
      </w:r>
      <w:r w:rsidRPr="00A545CB">
        <w:rPr>
          <w:u w:val="single"/>
        </w:rPr>
        <w:t>do</w:t>
      </w:r>
      <w:r w:rsidRPr="00A545CB">
        <w:t xml:space="preserve"> have a patient partner start at Step</w:t>
      </w:r>
      <w:r w:rsidR="002F3463">
        <w:t xml:space="preserve"> </w:t>
      </w:r>
      <w:r w:rsidRPr="00A545CB">
        <w:t>#</w:t>
      </w:r>
      <w:r w:rsidR="002F3463">
        <w:t>3</w:t>
      </w:r>
      <w:r w:rsidR="00145EFA">
        <w:t xml:space="preserve"> (though you may also learn some useful information by also starting at Step #1)</w:t>
      </w:r>
    </w:p>
    <w:p w14:paraId="419C7E60" w14:textId="2BA910CD" w:rsidR="008311E9" w:rsidRDefault="008311E9">
      <w:pPr>
        <w:rPr>
          <w:b/>
          <w:b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68"/>
        <w:gridCol w:w="4109"/>
        <w:gridCol w:w="563"/>
        <w:gridCol w:w="567"/>
        <w:gridCol w:w="3969"/>
      </w:tblGrid>
      <w:tr w:rsidR="008311E9" w14:paraId="38ED9453" w14:textId="1DC129F0" w:rsidTr="00264DD0">
        <w:trPr>
          <w:tblHeader/>
        </w:trPr>
        <w:tc>
          <w:tcPr>
            <w:tcW w:w="568" w:type="dxa"/>
          </w:tcPr>
          <w:p w14:paraId="61DBF919" w14:textId="18D89C74" w:rsidR="008311E9" w:rsidRDefault="008311E9">
            <w:pPr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4109" w:type="dxa"/>
          </w:tcPr>
          <w:p w14:paraId="4EF026B9" w14:textId="73CBFEC1" w:rsidR="008311E9" w:rsidRDefault="008311E9">
            <w:pPr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563" w:type="dxa"/>
          </w:tcPr>
          <w:p w14:paraId="6E0A5D99" w14:textId="74540CE2" w:rsidR="008311E9" w:rsidRDefault="008311E9">
            <w:pPr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567" w:type="dxa"/>
          </w:tcPr>
          <w:p w14:paraId="1EB5A0FC" w14:textId="5C30D9F2" w:rsidR="008311E9" w:rsidRDefault="008311E9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3969" w:type="dxa"/>
          </w:tcPr>
          <w:p w14:paraId="1672A29F" w14:textId="65E61E0D" w:rsidR="008311E9" w:rsidRDefault="008311E9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8311E9" w14:paraId="09EBC4EE" w14:textId="46D57DB6" w:rsidTr="008311E9">
        <w:tc>
          <w:tcPr>
            <w:tcW w:w="568" w:type="dxa"/>
          </w:tcPr>
          <w:p w14:paraId="0D601783" w14:textId="481BB915" w:rsidR="008311E9" w:rsidRDefault="008311E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109" w:type="dxa"/>
          </w:tcPr>
          <w:p w14:paraId="3A72AA86" w14:textId="422ABCE6" w:rsidR="008311E9" w:rsidRPr="008311E9" w:rsidRDefault="008311E9">
            <w:r w:rsidRPr="008311E9">
              <w:t xml:space="preserve">Review </w:t>
            </w:r>
            <w:hyperlink r:id="rId7" w:history="1">
              <w:r w:rsidRPr="00F96620">
                <w:rPr>
                  <w:rStyle w:val="Hyperlink"/>
                </w:rPr>
                <w:t>Investigator Decision Aid</w:t>
              </w:r>
            </w:hyperlink>
          </w:p>
        </w:tc>
        <w:tc>
          <w:tcPr>
            <w:tcW w:w="563" w:type="dxa"/>
          </w:tcPr>
          <w:p w14:paraId="5C04976B" w14:textId="77777777" w:rsidR="008311E9" w:rsidRDefault="008311E9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3731BB50" w14:textId="77777777" w:rsidR="008311E9" w:rsidRDefault="008311E9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074481B1" w14:textId="3EFE97BB" w:rsidR="008311E9" w:rsidRPr="008311E9" w:rsidRDefault="008311E9">
            <w:r w:rsidRPr="008311E9">
              <w:t>Ensure you are ready to engage a patient as a partner on your clinical trial/research team.</w:t>
            </w:r>
          </w:p>
        </w:tc>
      </w:tr>
      <w:tr w:rsidR="008311E9" w14:paraId="2EC86A14" w14:textId="6A301D38" w:rsidTr="008311E9">
        <w:tc>
          <w:tcPr>
            <w:tcW w:w="568" w:type="dxa"/>
          </w:tcPr>
          <w:p w14:paraId="34EEA246" w14:textId="35B2F52B" w:rsidR="008311E9" w:rsidRDefault="008311E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109" w:type="dxa"/>
          </w:tcPr>
          <w:p w14:paraId="41D419AB" w14:textId="6DB4FCD3" w:rsidR="008311E9" w:rsidRPr="008311E9" w:rsidRDefault="008311E9">
            <w:r w:rsidRPr="008311E9">
              <w:t xml:space="preserve">Secure a </w:t>
            </w:r>
            <w:r>
              <w:t>p</w:t>
            </w:r>
            <w:r w:rsidRPr="008311E9">
              <w:t xml:space="preserve">atient </w:t>
            </w:r>
            <w:r>
              <w:t>p</w:t>
            </w:r>
            <w:r w:rsidRPr="008311E9">
              <w:t>artner(s)</w:t>
            </w:r>
          </w:p>
        </w:tc>
        <w:tc>
          <w:tcPr>
            <w:tcW w:w="563" w:type="dxa"/>
          </w:tcPr>
          <w:p w14:paraId="00E97E7B" w14:textId="77777777" w:rsidR="008311E9" w:rsidRDefault="008311E9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18A5E17E" w14:textId="77777777" w:rsidR="008311E9" w:rsidRDefault="008311E9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52DDD6D8" w14:textId="7383FEE4" w:rsidR="008311E9" w:rsidRPr="008311E9" w:rsidRDefault="008311E9">
            <w:r w:rsidRPr="008311E9">
              <w:t xml:space="preserve">Suggestions for finding a patient partner are included in the </w:t>
            </w:r>
            <w:r w:rsidR="001A35DD">
              <w:t xml:space="preserve">Investigator Decision Aid </w:t>
            </w:r>
            <w:hyperlink r:id="rId8" w:history="1">
              <w:r w:rsidRPr="00F96620">
                <w:rPr>
                  <w:rStyle w:val="Hyperlink"/>
                  <w:b/>
                  <w:bCs/>
                </w:rPr>
                <w:t>My Decision – Next Steps</w:t>
              </w:r>
            </w:hyperlink>
            <w:r w:rsidRPr="0035278F">
              <w:rPr>
                <w:b/>
                <w:bCs/>
              </w:rPr>
              <w:t xml:space="preserve"> s</w:t>
            </w:r>
            <w:r w:rsidRPr="008311E9">
              <w:t>ection.</w:t>
            </w:r>
            <w:r w:rsidR="0035278F">
              <w:t xml:space="preserve"> You can also use the Patient Partner Recruitment Template in the </w:t>
            </w:r>
            <w:hyperlink r:id="rId9" w:history="1">
              <w:r w:rsidR="0035278F" w:rsidRPr="00F96620">
                <w:rPr>
                  <w:rStyle w:val="Hyperlink"/>
                  <w:b/>
                  <w:bCs/>
                </w:rPr>
                <w:t xml:space="preserve">Learn More </w:t>
              </w:r>
              <w:r w:rsidR="002919CA" w:rsidRPr="00F96620">
                <w:rPr>
                  <w:rStyle w:val="Hyperlink"/>
                  <w:b/>
                  <w:bCs/>
                </w:rPr>
                <w:t xml:space="preserve">section </w:t>
              </w:r>
              <w:r w:rsidR="0035278F" w:rsidRPr="00F96620">
                <w:rPr>
                  <w:rStyle w:val="Hyperlink"/>
                  <w:b/>
                  <w:bCs/>
                </w:rPr>
                <w:t>– Preparation for Execution of the Study</w:t>
              </w:r>
            </w:hyperlink>
            <w:r w:rsidR="0035278F">
              <w:t>.</w:t>
            </w:r>
          </w:p>
        </w:tc>
      </w:tr>
      <w:tr w:rsidR="008311E9" w14:paraId="10528E98" w14:textId="2387ECB8" w:rsidTr="008311E9">
        <w:tc>
          <w:tcPr>
            <w:tcW w:w="568" w:type="dxa"/>
          </w:tcPr>
          <w:p w14:paraId="599A554C" w14:textId="591BEF6E" w:rsidR="008311E9" w:rsidRDefault="008311E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109" w:type="dxa"/>
          </w:tcPr>
          <w:p w14:paraId="10C72682" w14:textId="0B7D54AF" w:rsidR="008311E9" w:rsidRPr="008311E9" w:rsidRDefault="00F96620">
            <w:r>
              <w:t>Have an i</w:t>
            </w:r>
            <w:r w:rsidR="008311E9" w:rsidRPr="008311E9">
              <w:t xml:space="preserve">nitial </w:t>
            </w:r>
            <w:r w:rsidR="0035278F">
              <w:t>d</w:t>
            </w:r>
            <w:r w:rsidR="008311E9" w:rsidRPr="008311E9">
              <w:t xml:space="preserve">iscussion with </w:t>
            </w:r>
            <w:r w:rsidR="0035278F">
              <w:t>p</w:t>
            </w:r>
            <w:r w:rsidR="008311E9" w:rsidRPr="008311E9">
              <w:t xml:space="preserve">atient </w:t>
            </w:r>
            <w:r w:rsidR="0035278F">
              <w:t>p</w:t>
            </w:r>
            <w:r w:rsidR="008311E9" w:rsidRPr="008311E9">
              <w:t xml:space="preserve">artner about </w:t>
            </w:r>
            <w:r w:rsidR="0035278F">
              <w:t>p</w:t>
            </w:r>
            <w:r w:rsidR="008311E9" w:rsidRPr="008311E9">
              <w:t xml:space="preserve">roposed </w:t>
            </w:r>
            <w:r w:rsidR="0035278F">
              <w:t>r</w:t>
            </w:r>
            <w:r w:rsidR="008311E9" w:rsidRPr="008311E9">
              <w:t>esearch</w:t>
            </w:r>
          </w:p>
        </w:tc>
        <w:tc>
          <w:tcPr>
            <w:tcW w:w="563" w:type="dxa"/>
          </w:tcPr>
          <w:p w14:paraId="431CF596" w14:textId="77777777" w:rsidR="008311E9" w:rsidRDefault="008311E9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49064359" w14:textId="77777777" w:rsidR="008311E9" w:rsidRDefault="008311E9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309116ED" w14:textId="6226661C" w:rsidR="008311E9" w:rsidRPr="008311E9" w:rsidRDefault="008311E9">
            <w:r w:rsidRPr="008311E9">
              <w:t>Th</w:t>
            </w:r>
            <w:r w:rsidR="0035278F">
              <w:t>is</w:t>
            </w:r>
            <w:r w:rsidRPr="008311E9">
              <w:t xml:space="preserve"> can be </w:t>
            </w:r>
            <w:r w:rsidR="0035278F">
              <w:t xml:space="preserve">a </w:t>
            </w:r>
            <w:r w:rsidRPr="008311E9">
              <w:t>general discussion to determine interest, commitment</w:t>
            </w:r>
            <w:r w:rsidR="00F96620">
              <w:t>, and what might work for both you and your patient partner</w:t>
            </w:r>
            <w:r w:rsidR="0035278F">
              <w:t>.</w:t>
            </w:r>
          </w:p>
        </w:tc>
      </w:tr>
      <w:tr w:rsidR="008311E9" w14:paraId="207E2859" w14:textId="492951E5" w:rsidTr="008311E9">
        <w:tc>
          <w:tcPr>
            <w:tcW w:w="568" w:type="dxa"/>
          </w:tcPr>
          <w:p w14:paraId="4A3507DA" w14:textId="3865F826" w:rsidR="008311E9" w:rsidRDefault="008311E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109" w:type="dxa"/>
          </w:tcPr>
          <w:p w14:paraId="6F7B1D98" w14:textId="7D04850A" w:rsidR="008311E9" w:rsidRPr="008311E9" w:rsidRDefault="00F96620">
            <w:r w:rsidRPr="008311E9">
              <w:t>En</w:t>
            </w:r>
            <w:r>
              <w:t>courage your</w:t>
            </w:r>
            <w:r w:rsidRPr="008311E9">
              <w:t xml:space="preserve"> </w:t>
            </w:r>
            <w:r w:rsidR="008311E9">
              <w:t>pa</w:t>
            </w:r>
            <w:r w:rsidR="008311E9" w:rsidRPr="008311E9">
              <w:t xml:space="preserve">tient </w:t>
            </w:r>
            <w:r w:rsidR="008311E9">
              <w:t>p</w:t>
            </w:r>
            <w:r w:rsidR="008311E9" w:rsidRPr="008311E9">
              <w:t xml:space="preserve">artner </w:t>
            </w:r>
            <w:r>
              <w:t xml:space="preserve">to </w:t>
            </w:r>
            <w:r w:rsidR="008311E9">
              <w:t>r</w:t>
            </w:r>
            <w:r w:rsidR="008311E9" w:rsidRPr="008311E9">
              <w:t>eview</w:t>
            </w:r>
            <w:r>
              <w:t xml:space="preserve"> the</w:t>
            </w:r>
            <w:r w:rsidR="008311E9" w:rsidRPr="008311E9">
              <w:t xml:space="preserve"> </w:t>
            </w:r>
            <w:hyperlink r:id="rId10" w:history="1">
              <w:r w:rsidR="008311E9" w:rsidRPr="00F96620">
                <w:rPr>
                  <w:rStyle w:val="Hyperlink"/>
                </w:rPr>
                <w:t>Patient Decision Aid</w:t>
              </w:r>
            </w:hyperlink>
          </w:p>
        </w:tc>
        <w:tc>
          <w:tcPr>
            <w:tcW w:w="563" w:type="dxa"/>
          </w:tcPr>
          <w:p w14:paraId="612B4388" w14:textId="77777777" w:rsidR="008311E9" w:rsidRDefault="008311E9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53CAA739" w14:textId="77777777" w:rsidR="008311E9" w:rsidRDefault="008311E9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5137A930" w14:textId="3DC54B76" w:rsidR="008311E9" w:rsidRPr="008311E9" w:rsidRDefault="008311E9">
            <w:r w:rsidRPr="008311E9">
              <w:t xml:space="preserve">This will </w:t>
            </w:r>
            <w:r w:rsidR="00F96620">
              <w:t>help your</w:t>
            </w:r>
            <w:r w:rsidR="00F96620" w:rsidRPr="008311E9">
              <w:t xml:space="preserve"> </w:t>
            </w:r>
            <w:r w:rsidR="00F96620">
              <w:t>patient partner feel more prepared</w:t>
            </w:r>
            <w:r w:rsidRPr="008311E9">
              <w:t xml:space="preserve"> to be a contributing member of your clinical trial/</w:t>
            </w:r>
            <w:r w:rsidR="002F3463">
              <w:t>study</w:t>
            </w:r>
            <w:r w:rsidRPr="008311E9">
              <w:t xml:space="preserve"> team.</w:t>
            </w:r>
          </w:p>
        </w:tc>
      </w:tr>
      <w:tr w:rsidR="008311E9" w14:paraId="5B173D2B" w14:textId="77777777" w:rsidTr="008311E9">
        <w:tc>
          <w:tcPr>
            <w:tcW w:w="568" w:type="dxa"/>
          </w:tcPr>
          <w:p w14:paraId="16807DCA" w14:textId="09CC7694" w:rsidR="008311E9" w:rsidRDefault="002F3463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109" w:type="dxa"/>
          </w:tcPr>
          <w:p w14:paraId="5A665D5D" w14:textId="00FB229F" w:rsidR="008311E9" w:rsidRDefault="008311E9">
            <w:r>
              <w:t>Confirm areas and levels of patient partner engagement. It is also important to estimate a time commitment by considering the frequency of meetings, role of patient partners, etc. (this will assist you in completing the budget)</w:t>
            </w:r>
            <w:r w:rsidR="003D275B">
              <w:t>.</w:t>
            </w:r>
          </w:p>
        </w:tc>
        <w:tc>
          <w:tcPr>
            <w:tcW w:w="563" w:type="dxa"/>
          </w:tcPr>
          <w:p w14:paraId="24188E5B" w14:textId="77777777" w:rsidR="008311E9" w:rsidRDefault="008311E9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5D19FD2B" w14:textId="77777777" w:rsidR="008311E9" w:rsidRDefault="008311E9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491238BB" w14:textId="758F74DE" w:rsidR="008311E9" w:rsidRPr="008311E9" w:rsidRDefault="008311E9">
            <w:r w:rsidRPr="008311E9">
              <w:t xml:space="preserve">Review the reimbursement structures for patient partners in </w:t>
            </w:r>
            <w:r w:rsidR="001A35DD">
              <w:t xml:space="preserve">Investigator Decision Aid </w:t>
            </w:r>
            <w:hyperlink r:id="rId11" w:history="1">
              <w:r w:rsidRPr="00F96620">
                <w:rPr>
                  <w:rStyle w:val="Hyperlink"/>
                  <w:b/>
                  <w:bCs/>
                </w:rPr>
                <w:t>Learn More</w:t>
              </w:r>
              <w:r w:rsidR="0035278F" w:rsidRPr="00F96620">
                <w:rPr>
                  <w:rStyle w:val="Hyperlink"/>
                  <w:b/>
                  <w:bCs/>
                </w:rPr>
                <w:t xml:space="preserve"> </w:t>
              </w:r>
              <w:r w:rsidRPr="00F96620">
                <w:rPr>
                  <w:rStyle w:val="Hyperlink"/>
                  <w:b/>
                  <w:bCs/>
                </w:rPr>
                <w:t xml:space="preserve"> – Development of the Grant Proposal</w:t>
              </w:r>
            </w:hyperlink>
            <w:r w:rsidRPr="0035278F">
              <w:rPr>
                <w:b/>
                <w:bCs/>
              </w:rPr>
              <w:t xml:space="preserve">. </w:t>
            </w:r>
            <w:r w:rsidRPr="0035278F">
              <w:t xml:space="preserve">You </w:t>
            </w:r>
            <w:r>
              <w:t>must add compensation and reimbursement monies for all patient partners in your budget.</w:t>
            </w:r>
            <w:r w:rsidR="0035278F">
              <w:t xml:space="preserve"> </w:t>
            </w:r>
          </w:p>
        </w:tc>
      </w:tr>
      <w:tr w:rsidR="008311E9" w14:paraId="01E01D63" w14:textId="77777777" w:rsidTr="00EE244D">
        <w:tc>
          <w:tcPr>
            <w:tcW w:w="568" w:type="dxa"/>
            <w:tcBorders>
              <w:bottom w:val="single" w:sz="4" w:space="0" w:color="auto"/>
            </w:tcBorders>
          </w:tcPr>
          <w:p w14:paraId="689CB8FD" w14:textId="56079112" w:rsidR="008311E9" w:rsidRDefault="002F3463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109" w:type="dxa"/>
            <w:tcBorders>
              <w:bottom w:val="single" w:sz="4" w:space="0" w:color="auto"/>
            </w:tcBorders>
          </w:tcPr>
          <w:p w14:paraId="5F71B586" w14:textId="67E9ACD3" w:rsidR="008311E9" w:rsidRDefault="008311E9">
            <w:r>
              <w:t>Confirm compensation/reimbursement structure with patient partner</w:t>
            </w:r>
            <w:r w:rsidR="001A35DD">
              <w:t>.</w:t>
            </w:r>
            <w:r>
              <w:t xml:space="preserve"> 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284DB9EF" w14:textId="77777777" w:rsidR="008311E9" w:rsidRDefault="008311E9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8E2E103" w14:textId="77777777" w:rsidR="008311E9" w:rsidRDefault="008311E9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2DF0C1A" w14:textId="56453E95" w:rsidR="008311E9" w:rsidRPr="008311E9" w:rsidRDefault="008311E9">
            <w:r w:rsidRPr="008311E9">
              <w:t>Ensure</w:t>
            </w:r>
            <w:r w:rsidR="001A35DD">
              <w:t>s</w:t>
            </w:r>
            <w:r w:rsidRPr="008311E9">
              <w:t xml:space="preserve"> all patient partners are aware of responsibilities and </w:t>
            </w:r>
            <w:r w:rsidR="00F96620">
              <w:t xml:space="preserve">potential implications associated with </w:t>
            </w:r>
            <w:r w:rsidRPr="008311E9">
              <w:t>reimbursement.</w:t>
            </w:r>
            <w:r w:rsidR="001A35DD">
              <w:t xml:space="preserve"> </w:t>
            </w:r>
          </w:p>
        </w:tc>
      </w:tr>
      <w:tr w:rsidR="002F3463" w14:paraId="759734A1" w14:textId="77777777" w:rsidTr="00EE244D">
        <w:tc>
          <w:tcPr>
            <w:tcW w:w="568" w:type="dxa"/>
            <w:tcBorders>
              <w:bottom w:val="nil"/>
            </w:tcBorders>
          </w:tcPr>
          <w:p w14:paraId="35F38D35" w14:textId="128A8137" w:rsidR="002F3463" w:rsidRDefault="002F3463" w:rsidP="002F3463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109" w:type="dxa"/>
            <w:tcBorders>
              <w:bottom w:val="nil"/>
            </w:tcBorders>
          </w:tcPr>
          <w:p w14:paraId="5B7CEB97" w14:textId="45555403" w:rsidR="002F3463" w:rsidRDefault="002F3463" w:rsidP="002F3463">
            <w:r>
              <w:t>Establish a point person(s) for the patient partner(s), such as the PI or research officer.</w:t>
            </w:r>
          </w:p>
        </w:tc>
        <w:tc>
          <w:tcPr>
            <w:tcW w:w="563" w:type="dxa"/>
            <w:tcBorders>
              <w:bottom w:val="nil"/>
            </w:tcBorders>
          </w:tcPr>
          <w:p w14:paraId="6266E8AE" w14:textId="77777777" w:rsidR="002F3463" w:rsidRDefault="002F3463" w:rsidP="002F3463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20F93979" w14:textId="77777777" w:rsidR="002F3463" w:rsidRDefault="002F3463" w:rsidP="002F3463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141E9DC4" w14:textId="7584C6D0" w:rsidR="002F3463" w:rsidRPr="008311E9" w:rsidRDefault="002F3463" w:rsidP="002F3463">
            <w:r>
              <w:t xml:space="preserve">A point person can assist patient partner(s) to complete necessary tasks for grant submission. If funding is successful, this point person </w:t>
            </w:r>
            <w:r>
              <w:lastRenderedPageBreak/>
              <w:t>becomes a direct link to the research team for questions, concerns, etc.</w:t>
            </w:r>
            <w:r w:rsidRPr="008311E9">
              <w:t xml:space="preserve"> </w:t>
            </w:r>
          </w:p>
        </w:tc>
      </w:tr>
      <w:tr w:rsidR="008311E9" w14:paraId="22453CBF" w14:textId="77777777" w:rsidTr="00EE244D">
        <w:tc>
          <w:tcPr>
            <w:tcW w:w="568" w:type="dxa"/>
            <w:tcBorders>
              <w:bottom w:val="nil"/>
            </w:tcBorders>
          </w:tcPr>
          <w:p w14:paraId="13F42E0C" w14:textId="55382501" w:rsidR="008311E9" w:rsidRDefault="008311E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</w:p>
        </w:tc>
        <w:tc>
          <w:tcPr>
            <w:tcW w:w="4109" w:type="dxa"/>
            <w:tcBorders>
              <w:bottom w:val="nil"/>
            </w:tcBorders>
          </w:tcPr>
          <w:p w14:paraId="147FC86C" w14:textId="1F8D5F17" w:rsidR="008311E9" w:rsidRDefault="008311E9">
            <w:r>
              <w:t xml:space="preserve">If you are applying to CIHR, each patient partner must </w:t>
            </w:r>
            <w:hyperlink r:id="rId12" w:history="1">
              <w:r w:rsidRPr="008311E9">
                <w:rPr>
                  <w:rStyle w:val="Hyperlink"/>
                </w:rPr>
                <w:t>Register with CIHR</w:t>
              </w:r>
            </w:hyperlink>
            <w:r>
              <w:t xml:space="preserve">. </w:t>
            </w:r>
          </w:p>
          <w:p w14:paraId="199745F3" w14:textId="7455C815" w:rsidR="008311E9" w:rsidRDefault="008311E9" w:rsidP="00EE244D"/>
        </w:tc>
        <w:tc>
          <w:tcPr>
            <w:tcW w:w="563" w:type="dxa"/>
            <w:tcBorders>
              <w:bottom w:val="nil"/>
            </w:tcBorders>
          </w:tcPr>
          <w:p w14:paraId="5B63289C" w14:textId="77777777" w:rsidR="008311E9" w:rsidRDefault="008311E9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0619BE65" w14:textId="77777777" w:rsidR="008311E9" w:rsidRDefault="008311E9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24A9D460" w14:textId="62F32D9E" w:rsidR="008311E9" w:rsidRPr="008311E9" w:rsidRDefault="008311E9" w:rsidP="00EE244D">
            <w:r w:rsidRPr="008311E9">
              <w:t>These steps are necessary for patient partners as co-applicants.</w:t>
            </w:r>
            <w:r>
              <w:t xml:space="preserve"> It is helpful to have a research officer</w:t>
            </w:r>
            <w:r w:rsidR="00F96620">
              <w:t>, administrative assistant,</w:t>
            </w:r>
            <w:r>
              <w:t xml:space="preserve"> o</w:t>
            </w:r>
            <w:r w:rsidR="00273380">
              <w:t>r</w:t>
            </w:r>
            <w:r>
              <w:t xml:space="preserve"> co-applicant assist with these steps.</w:t>
            </w:r>
          </w:p>
        </w:tc>
      </w:tr>
      <w:tr w:rsidR="008311E9" w14:paraId="75AB5A80" w14:textId="77777777" w:rsidTr="00EE244D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64608526" w14:textId="77777777" w:rsidR="008311E9" w:rsidRDefault="008311E9">
            <w:pPr>
              <w:rPr>
                <w:b/>
                <w:bCs/>
              </w:rPr>
            </w:pPr>
          </w:p>
        </w:tc>
        <w:tc>
          <w:tcPr>
            <w:tcW w:w="4109" w:type="dxa"/>
            <w:tcBorders>
              <w:top w:val="nil"/>
              <w:bottom w:val="single" w:sz="4" w:space="0" w:color="auto"/>
            </w:tcBorders>
          </w:tcPr>
          <w:p w14:paraId="65E0EA94" w14:textId="7E740470" w:rsidR="008311E9" w:rsidRDefault="00EE244D" w:rsidP="00EE244D">
            <w:pPr>
              <w:pStyle w:val="ListParagraph"/>
              <w:numPr>
                <w:ilvl w:val="0"/>
                <w:numId w:val="1"/>
              </w:numPr>
            </w:pPr>
            <w:r>
              <w:t xml:space="preserve">This means they need to register for an account on </w:t>
            </w:r>
            <w:hyperlink r:id="rId13" w:history="1">
              <w:proofErr w:type="spellStart"/>
              <w:r w:rsidRPr="008311E9">
                <w:rPr>
                  <w:rStyle w:val="Hyperlink"/>
                </w:rPr>
                <w:t>ResearchNet</w:t>
              </w:r>
              <w:proofErr w:type="spellEnd"/>
            </w:hyperlink>
            <w:r>
              <w:t xml:space="preserve">. </w:t>
            </w:r>
          </w:p>
        </w:tc>
        <w:tc>
          <w:tcPr>
            <w:tcW w:w="563" w:type="dxa"/>
            <w:tcBorders>
              <w:top w:val="nil"/>
              <w:bottom w:val="single" w:sz="4" w:space="0" w:color="auto"/>
            </w:tcBorders>
          </w:tcPr>
          <w:p w14:paraId="00941F90" w14:textId="77777777" w:rsidR="008311E9" w:rsidRDefault="008311E9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4D8B8B16" w14:textId="77777777" w:rsidR="008311E9" w:rsidRDefault="008311E9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7D63B889" w14:textId="54ECC60F" w:rsidR="008311E9" w:rsidRPr="008311E9" w:rsidRDefault="00EE244D" w:rsidP="00EE244D">
            <w:pPr>
              <w:pStyle w:val="ListParagraph"/>
              <w:numPr>
                <w:ilvl w:val="0"/>
                <w:numId w:val="2"/>
              </w:numPr>
            </w:pPr>
            <w:r>
              <w:t xml:space="preserve">On the homepage </w:t>
            </w:r>
            <w:r w:rsidR="00F96620">
              <w:t xml:space="preserve">of </w:t>
            </w:r>
            <w:proofErr w:type="spellStart"/>
            <w:r w:rsidR="00F96620">
              <w:t>ResearchNet</w:t>
            </w:r>
            <w:proofErr w:type="spellEnd"/>
            <w:r w:rsidR="00F96620">
              <w:t xml:space="preserve">, </w:t>
            </w:r>
            <w:r>
              <w:t xml:space="preserve">select ‘register’ from the sign-in box on the top right hand corner. They should fill in and submit the on-line form. Once submitted, their </w:t>
            </w:r>
            <w:proofErr w:type="spellStart"/>
            <w:r>
              <w:t>ResearchNet</w:t>
            </w:r>
            <w:proofErr w:type="spellEnd"/>
            <w:r>
              <w:t xml:space="preserve"> account is immediately available. </w:t>
            </w:r>
          </w:p>
        </w:tc>
      </w:tr>
      <w:tr w:rsidR="00EE244D" w14:paraId="1A70A316" w14:textId="77777777" w:rsidTr="00EE244D">
        <w:tc>
          <w:tcPr>
            <w:tcW w:w="568" w:type="dxa"/>
            <w:tcBorders>
              <w:bottom w:val="nil"/>
            </w:tcBorders>
          </w:tcPr>
          <w:p w14:paraId="116907F3" w14:textId="77777777" w:rsidR="00EE244D" w:rsidRDefault="00EE244D">
            <w:pPr>
              <w:rPr>
                <w:b/>
                <w:bCs/>
              </w:rPr>
            </w:pPr>
          </w:p>
        </w:tc>
        <w:tc>
          <w:tcPr>
            <w:tcW w:w="4109" w:type="dxa"/>
            <w:tcBorders>
              <w:bottom w:val="nil"/>
            </w:tcBorders>
          </w:tcPr>
          <w:p w14:paraId="0562AC94" w14:textId="0C03E88D" w:rsidR="00EE244D" w:rsidRDefault="00FC4C46" w:rsidP="00EE244D">
            <w:pPr>
              <w:pStyle w:val="ListParagraph"/>
              <w:numPr>
                <w:ilvl w:val="0"/>
                <w:numId w:val="1"/>
              </w:numPr>
            </w:pPr>
            <w:hyperlink r:id="rId14" w:history="1">
              <w:r w:rsidR="00EE244D" w:rsidRPr="008311E9">
                <w:rPr>
                  <w:rStyle w:val="Hyperlink"/>
                </w:rPr>
                <w:t>Equity and Diversity Questionnaire</w:t>
              </w:r>
            </w:hyperlink>
            <w:r w:rsidR="00EE244D">
              <w:t xml:space="preserve">. </w:t>
            </w:r>
          </w:p>
        </w:tc>
        <w:tc>
          <w:tcPr>
            <w:tcW w:w="563" w:type="dxa"/>
            <w:tcBorders>
              <w:bottom w:val="nil"/>
            </w:tcBorders>
          </w:tcPr>
          <w:p w14:paraId="35835F31" w14:textId="77777777" w:rsidR="00EE244D" w:rsidRDefault="00EE244D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0BE7A1D6" w14:textId="77777777" w:rsidR="00EE244D" w:rsidRDefault="00EE244D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503849B6" w14:textId="1A76FF46" w:rsidR="00EE244D" w:rsidRPr="00EE244D" w:rsidRDefault="00EE244D" w:rsidP="00EE244D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t xml:space="preserve">This is </w:t>
            </w:r>
            <w:r w:rsidRPr="008311E9">
              <w:rPr>
                <w:u w:val="single"/>
              </w:rPr>
              <w:t>mandatory</w:t>
            </w:r>
            <w:r>
              <w:t xml:space="preserve"> of all applicants at the full application stage (i.e., not needed at registration</w:t>
            </w:r>
            <w:r w:rsidR="00F96620">
              <w:t xml:space="preserve"> stage</w:t>
            </w:r>
            <w:r>
              <w:t>).</w:t>
            </w:r>
          </w:p>
        </w:tc>
      </w:tr>
      <w:tr w:rsidR="00EE244D" w14:paraId="38578ACA" w14:textId="77777777" w:rsidTr="00EE244D">
        <w:tc>
          <w:tcPr>
            <w:tcW w:w="568" w:type="dxa"/>
            <w:tcBorders>
              <w:top w:val="nil"/>
              <w:bottom w:val="nil"/>
            </w:tcBorders>
          </w:tcPr>
          <w:p w14:paraId="33527DE1" w14:textId="77777777" w:rsidR="00EE244D" w:rsidRDefault="00EE244D">
            <w:pPr>
              <w:rPr>
                <w:b/>
                <w:bCs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7EB402BE" w14:textId="074D854E" w:rsidR="00EE244D" w:rsidRDefault="00EE244D" w:rsidP="00EE244D">
            <w:pPr>
              <w:pStyle w:val="ListParagraph"/>
              <w:numPr>
                <w:ilvl w:val="0"/>
                <w:numId w:val="1"/>
              </w:numPr>
            </w:pPr>
            <w:r>
              <w:t>Get a CIHR PIN</w:t>
            </w:r>
          </w:p>
        </w:tc>
        <w:tc>
          <w:tcPr>
            <w:tcW w:w="563" w:type="dxa"/>
            <w:tcBorders>
              <w:top w:val="nil"/>
              <w:bottom w:val="nil"/>
            </w:tcBorders>
          </w:tcPr>
          <w:p w14:paraId="5ADA2357" w14:textId="77777777" w:rsidR="00EE244D" w:rsidRDefault="00EE244D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D8AA53B" w14:textId="77777777" w:rsidR="00EE244D" w:rsidRDefault="00EE244D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4AF1C676" w14:textId="4E2BF758" w:rsidR="00EE244D" w:rsidRPr="00EE244D" w:rsidRDefault="00EE244D" w:rsidP="00EE244D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t xml:space="preserve">This step can be completed after registration </w:t>
            </w:r>
            <w:r w:rsidR="00273380">
              <w:t>if</w:t>
            </w:r>
            <w:r>
              <w:t xml:space="preserve"> a </w:t>
            </w:r>
            <w:proofErr w:type="spellStart"/>
            <w:r>
              <w:t>ResearchNet</w:t>
            </w:r>
            <w:proofErr w:type="spellEnd"/>
            <w:r>
              <w:t xml:space="preserve"> account has been completed. If a CIHR PIN was requested prior to registration in </w:t>
            </w:r>
            <w:proofErr w:type="spellStart"/>
            <w:r>
              <w:t>ResearchNet</w:t>
            </w:r>
            <w:proofErr w:type="spellEnd"/>
            <w:r>
              <w:t xml:space="preserve">, the 5-6 digit PIN will need to be validated in </w:t>
            </w:r>
            <w:proofErr w:type="spellStart"/>
            <w:r>
              <w:t>ResearchNet</w:t>
            </w:r>
            <w:proofErr w:type="spellEnd"/>
            <w:r>
              <w:t xml:space="preserve"> when registration is complete. Detailed instructions can be found </w:t>
            </w:r>
            <w:hyperlink r:id="rId15" w:history="1">
              <w:r w:rsidRPr="008311E9">
                <w:rPr>
                  <w:rStyle w:val="Hyperlink"/>
                </w:rPr>
                <w:t>here</w:t>
              </w:r>
            </w:hyperlink>
            <w:r>
              <w:t>.</w:t>
            </w:r>
          </w:p>
        </w:tc>
      </w:tr>
      <w:tr w:rsidR="00EE244D" w14:paraId="71E522BF" w14:textId="77777777" w:rsidTr="00C77D70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0EF7CC3E" w14:textId="77777777" w:rsidR="00EE244D" w:rsidRDefault="00EE244D">
            <w:pPr>
              <w:rPr>
                <w:b/>
                <w:bCs/>
              </w:rPr>
            </w:pPr>
          </w:p>
        </w:tc>
        <w:tc>
          <w:tcPr>
            <w:tcW w:w="4109" w:type="dxa"/>
            <w:tcBorders>
              <w:top w:val="nil"/>
              <w:bottom w:val="single" w:sz="4" w:space="0" w:color="auto"/>
            </w:tcBorders>
          </w:tcPr>
          <w:p w14:paraId="5363131B" w14:textId="1C2B8430" w:rsidR="00EE244D" w:rsidRDefault="00EE244D" w:rsidP="00EE244D">
            <w:pPr>
              <w:pStyle w:val="ListParagraph"/>
              <w:numPr>
                <w:ilvl w:val="0"/>
                <w:numId w:val="1"/>
              </w:numPr>
            </w:pPr>
            <w:r>
              <w:t xml:space="preserve">Complete a </w:t>
            </w:r>
            <w:hyperlink r:id="rId16" w:history="1">
              <w:r w:rsidRPr="008311E9">
                <w:rPr>
                  <w:rStyle w:val="Hyperlink"/>
                </w:rPr>
                <w:t>Canadian Common CV.</w:t>
              </w:r>
            </w:hyperlink>
          </w:p>
        </w:tc>
        <w:tc>
          <w:tcPr>
            <w:tcW w:w="563" w:type="dxa"/>
            <w:tcBorders>
              <w:top w:val="nil"/>
              <w:bottom w:val="single" w:sz="4" w:space="0" w:color="auto"/>
            </w:tcBorders>
          </w:tcPr>
          <w:p w14:paraId="1AE0CF93" w14:textId="77777777" w:rsidR="00EE244D" w:rsidRDefault="00EE244D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D87E8EF" w14:textId="77777777" w:rsidR="00EE244D" w:rsidRDefault="00EE244D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21FFEAF3" w14:textId="7995B5FA" w:rsidR="00EE244D" w:rsidRDefault="00EE244D" w:rsidP="00EE244D">
            <w:pPr>
              <w:pStyle w:val="ListParagraph"/>
              <w:numPr>
                <w:ilvl w:val="0"/>
                <w:numId w:val="2"/>
              </w:numPr>
            </w:pPr>
            <w:r w:rsidRPr="008311E9">
              <w:t>This is required for most funding opportunities.</w:t>
            </w:r>
            <w:r>
              <w:t xml:space="preserve"> Also, in order to submit any completed CIHR CV template, the CIHR PIN needs to be validated here as well. Details can be found </w:t>
            </w:r>
            <w:hyperlink r:id="rId17" w:history="1">
              <w:r w:rsidRPr="008311E9">
                <w:rPr>
                  <w:rStyle w:val="Hyperlink"/>
                </w:rPr>
                <w:t>here.</w:t>
              </w:r>
            </w:hyperlink>
            <w:r>
              <w:t xml:space="preserve"> Note: it may be necessary to add the current grant application to ‘Research Funding History’ in order to preview and submit</w:t>
            </w:r>
            <w:r w:rsidR="00273380">
              <w:t xml:space="preserve"> the CV</w:t>
            </w:r>
            <w:r>
              <w:t>.</w:t>
            </w:r>
            <w:r w:rsidR="00F96620">
              <w:t xml:space="preserve"> Again, if possible, ask your patient partner for a CV and </w:t>
            </w:r>
            <w:r w:rsidR="00F96620">
              <w:lastRenderedPageBreak/>
              <w:t>input the CV information for them, or have someone on your team such as an administrative assistant help.</w:t>
            </w:r>
          </w:p>
        </w:tc>
      </w:tr>
      <w:tr w:rsidR="00264DD0" w14:paraId="466658FD" w14:textId="77777777" w:rsidTr="00C77D70">
        <w:tc>
          <w:tcPr>
            <w:tcW w:w="568" w:type="dxa"/>
            <w:tcBorders>
              <w:top w:val="single" w:sz="4" w:space="0" w:color="auto"/>
            </w:tcBorders>
          </w:tcPr>
          <w:p w14:paraId="606655B4" w14:textId="5F70CEEE" w:rsidR="00264DD0" w:rsidRDefault="00264DD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</w:t>
            </w:r>
          </w:p>
        </w:tc>
        <w:tc>
          <w:tcPr>
            <w:tcW w:w="4109" w:type="dxa"/>
            <w:tcBorders>
              <w:top w:val="single" w:sz="4" w:space="0" w:color="auto"/>
            </w:tcBorders>
          </w:tcPr>
          <w:p w14:paraId="50F2BD98" w14:textId="2B9F043A" w:rsidR="00264DD0" w:rsidRDefault="00264DD0" w:rsidP="00C77D70">
            <w:pPr>
              <w:ind w:left="20"/>
            </w:pPr>
            <w:r>
              <w:t xml:space="preserve">Testimonial/Letter of Support 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0B605CF1" w14:textId="77777777" w:rsidR="00264DD0" w:rsidRDefault="00264DD0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ADA5289" w14:textId="77777777" w:rsidR="00264DD0" w:rsidRDefault="00264DD0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749D0218" w14:textId="6F35959C" w:rsidR="00264DD0" w:rsidRDefault="00264DD0" w:rsidP="002919CA">
            <w:pPr>
              <w:spacing w:after="120"/>
            </w:pPr>
            <w:r>
              <w:t xml:space="preserve">It is helpful to have a testimonial from the patient partner if they are a co-applicant on your grant application. If the </w:t>
            </w:r>
            <w:proofErr w:type="spellStart"/>
            <w:r>
              <w:t>pateint</w:t>
            </w:r>
            <w:proofErr w:type="spellEnd"/>
            <w:r>
              <w:t xml:space="preserve"> partner is a collaborator, a letter of support is recommended. Templates for Patient Partner Testimonial and Patient Partner Letter of Support are available in the </w:t>
            </w:r>
            <w:hyperlink r:id="rId18" w:history="1">
              <w:r w:rsidRPr="00F96620">
                <w:rPr>
                  <w:rStyle w:val="Hyperlink"/>
                  <w:b/>
                  <w:bCs/>
                </w:rPr>
                <w:t>Learn More  – Development of the Grant Proposal</w:t>
              </w:r>
            </w:hyperlink>
            <w:r>
              <w:rPr>
                <w:b/>
                <w:bCs/>
              </w:rPr>
              <w:t xml:space="preserve"> </w:t>
            </w:r>
            <w:r w:rsidRPr="00264DD0">
              <w:t>section of the Investigator Decision Aid.</w:t>
            </w:r>
          </w:p>
        </w:tc>
      </w:tr>
      <w:tr w:rsidR="002919CA" w14:paraId="26A0D9BD" w14:textId="77777777" w:rsidTr="00C77D70">
        <w:tc>
          <w:tcPr>
            <w:tcW w:w="568" w:type="dxa"/>
            <w:tcBorders>
              <w:top w:val="single" w:sz="4" w:space="0" w:color="auto"/>
            </w:tcBorders>
          </w:tcPr>
          <w:p w14:paraId="66DC0DB2" w14:textId="519F1A42" w:rsidR="002919CA" w:rsidRDefault="00264DD0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109" w:type="dxa"/>
            <w:tcBorders>
              <w:top w:val="single" w:sz="4" w:space="0" w:color="auto"/>
            </w:tcBorders>
          </w:tcPr>
          <w:p w14:paraId="23064892" w14:textId="3B7C8D51" w:rsidR="002919CA" w:rsidRDefault="002919CA" w:rsidP="00C77D70">
            <w:pPr>
              <w:ind w:left="20"/>
            </w:pPr>
            <w:r>
              <w:t xml:space="preserve">Lay </w:t>
            </w:r>
            <w:r w:rsidR="00951F47">
              <w:t>Title/Lay Abstract</w:t>
            </w:r>
            <w:r w:rsidR="00264DD0">
              <w:t>/Grant Application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431AD9E3" w14:textId="77777777" w:rsidR="002919CA" w:rsidRDefault="002919CA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825B2ED" w14:textId="77777777" w:rsidR="002919CA" w:rsidRDefault="002919CA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94E29A7" w14:textId="3D735C12" w:rsidR="002919CA" w:rsidRPr="002919CA" w:rsidRDefault="002919CA" w:rsidP="002919CA">
            <w:pPr>
              <w:spacing w:after="120"/>
              <w:rPr>
                <w:rFonts w:ascii="Times New Roman" w:hAnsi="Times New Roman" w:cs="Times New Roman"/>
              </w:rPr>
            </w:pPr>
            <w:r>
              <w:t xml:space="preserve">Patient </w:t>
            </w:r>
            <w:r w:rsidR="00F96620">
              <w:t xml:space="preserve">partners </w:t>
            </w:r>
            <w:r>
              <w:t xml:space="preserve">can assist to write/verify the lay </w:t>
            </w:r>
            <w:r w:rsidR="00264DD0">
              <w:t>abstract</w:t>
            </w:r>
            <w:r>
              <w:t xml:space="preserve"> of your grant application. </w:t>
            </w:r>
            <w:r w:rsidRPr="002919CA">
              <w:t>T</w:t>
            </w:r>
            <w:r w:rsidRPr="002919CA">
              <w:rPr>
                <w:rFonts w:cs="Times New Roman"/>
              </w:rPr>
              <w:t xml:space="preserve">here is a free readability checker </w:t>
            </w:r>
            <w:hyperlink r:id="rId19" w:history="1">
              <w:r w:rsidRPr="002919CA">
                <w:rPr>
                  <w:rStyle w:val="Hyperlink"/>
                  <w:rFonts w:cs="Times New Roman"/>
                </w:rPr>
                <w:t>here</w:t>
              </w:r>
            </w:hyperlink>
            <w:r w:rsidRPr="002919CA">
              <w:rPr>
                <w:rFonts w:cs="Times New Roman"/>
              </w:rPr>
              <w:t xml:space="preserve">. This will take a sample of writing (number of sentences, words, syllables, and characters) </w:t>
            </w:r>
            <w:r>
              <w:rPr>
                <w:rFonts w:cs="Times New Roman"/>
              </w:rPr>
              <w:t>and</w:t>
            </w:r>
            <w:r w:rsidRPr="002919CA">
              <w:rPr>
                <w:rFonts w:cs="Times New Roman"/>
              </w:rPr>
              <w:t xml:space="preserve"> calculate the reading/grade level of your text. </w:t>
            </w:r>
            <w:r w:rsidR="00264DD0">
              <w:rPr>
                <w:rFonts w:cs="Times New Roman"/>
              </w:rPr>
              <w:t xml:space="preserve">Patient partners can be invited to review sections or the entire grant application. </w:t>
            </w:r>
            <w:r w:rsidR="00264DD0" w:rsidRPr="00264DD0">
              <w:rPr>
                <w:rFonts w:cs="Times New Roman"/>
                <w:u w:val="single"/>
              </w:rPr>
              <w:t>NOTE</w:t>
            </w:r>
            <w:r w:rsidR="00264DD0">
              <w:rPr>
                <w:rFonts w:cs="Times New Roman"/>
              </w:rPr>
              <w:t>: It is important to ensure patient partners are aware of the duration of time from grant submission to grant funding notification, what will happen if the grant is not funded, and how/if the investigative team will continue to work (if funded/if not funded).</w:t>
            </w:r>
          </w:p>
        </w:tc>
      </w:tr>
      <w:tr w:rsidR="00C77D70" w14:paraId="6D77C092" w14:textId="77777777" w:rsidTr="003D275B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72216D9" w14:textId="455DADCE" w:rsidR="00C77D70" w:rsidRDefault="002919C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64DD0">
              <w:rPr>
                <w:b/>
                <w:bCs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</w:tcPr>
          <w:p w14:paraId="01D36A50" w14:textId="072C1173" w:rsidR="00C77D70" w:rsidRDefault="00C77D70" w:rsidP="00C77D70">
            <w:pPr>
              <w:ind w:left="20"/>
            </w:pPr>
            <w:r>
              <w:t>Complete a Patient Partnership Interest and Privacy Form.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26A22C9F" w14:textId="77777777" w:rsidR="00C77D70" w:rsidRDefault="00C77D70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6969406" w14:textId="77777777" w:rsidR="00C77D70" w:rsidRDefault="00C77D70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9B986DE" w14:textId="61AB79B3" w:rsidR="00C77D70" w:rsidRPr="008311E9" w:rsidRDefault="00C77D70" w:rsidP="00C77D70">
            <w:pPr>
              <w:ind w:left="37"/>
            </w:pPr>
            <w:r>
              <w:t xml:space="preserve">This form template is located in the </w:t>
            </w:r>
            <w:r w:rsidR="001A35DD">
              <w:t xml:space="preserve">Investigator Decision Aid </w:t>
            </w:r>
            <w:hyperlink r:id="rId20" w:history="1">
              <w:r w:rsidRPr="00F96620">
                <w:rPr>
                  <w:rStyle w:val="Hyperlink"/>
                  <w:b/>
                  <w:bCs/>
                </w:rPr>
                <w:t>Learn More section – Preparation for Execution of the Study</w:t>
              </w:r>
            </w:hyperlink>
            <w:r>
              <w:t>, How do I communicate with my patient partner(s)? This can be completed at any time during the application process or after funding has been received.</w:t>
            </w:r>
          </w:p>
        </w:tc>
      </w:tr>
      <w:tr w:rsidR="003D275B" w14:paraId="6124BDEC" w14:textId="77777777" w:rsidTr="00C77D70">
        <w:tc>
          <w:tcPr>
            <w:tcW w:w="568" w:type="dxa"/>
            <w:tcBorders>
              <w:top w:val="single" w:sz="4" w:space="0" w:color="auto"/>
            </w:tcBorders>
          </w:tcPr>
          <w:p w14:paraId="6488C09B" w14:textId="27CCC079" w:rsidR="003D275B" w:rsidRDefault="003D275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264DD0">
              <w:rPr>
                <w:b/>
                <w:bCs/>
              </w:rPr>
              <w:t>2</w:t>
            </w:r>
          </w:p>
        </w:tc>
        <w:tc>
          <w:tcPr>
            <w:tcW w:w="4109" w:type="dxa"/>
            <w:tcBorders>
              <w:top w:val="single" w:sz="4" w:space="0" w:color="auto"/>
            </w:tcBorders>
          </w:tcPr>
          <w:p w14:paraId="6D51F2B7" w14:textId="76EE253F" w:rsidR="003D275B" w:rsidRDefault="003D275B" w:rsidP="00C77D70">
            <w:pPr>
              <w:ind w:left="20"/>
            </w:pPr>
            <w:r>
              <w:t xml:space="preserve">Ensure project/research team members review appropriate </w:t>
            </w:r>
            <w:hyperlink r:id="rId21" w:history="1">
              <w:r w:rsidRPr="00F96620">
                <w:rPr>
                  <w:rStyle w:val="Hyperlink"/>
                </w:rPr>
                <w:t>decision aid</w:t>
              </w:r>
            </w:hyperlink>
            <w:r>
              <w:t xml:space="preserve"> (this also includes the research officer).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7BD952B5" w14:textId="77777777" w:rsidR="003D275B" w:rsidRDefault="003D275B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B46F040" w14:textId="77777777" w:rsidR="003D275B" w:rsidRDefault="003D275B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4B7BA2E3" w14:textId="7CFE1906" w:rsidR="003D275B" w:rsidRDefault="003D275B" w:rsidP="00C77D70">
            <w:pPr>
              <w:ind w:left="37"/>
            </w:pPr>
            <w:r w:rsidRPr="008311E9">
              <w:t>This step can be done later if you receive funding. This will help ensure all research team members understand the guiding principles of inclusiveness, support, mutual respect and co-build.</w:t>
            </w:r>
          </w:p>
        </w:tc>
      </w:tr>
    </w:tbl>
    <w:p w14:paraId="0FF65FD8" w14:textId="77777777" w:rsidR="008311E9" w:rsidRPr="008311E9" w:rsidRDefault="008311E9">
      <w:pPr>
        <w:rPr>
          <w:b/>
          <w:bCs/>
        </w:rPr>
      </w:pPr>
    </w:p>
    <w:sectPr w:rsidR="008311E9" w:rsidRPr="008311E9" w:rsidSect="00321F8F">
      <w:headerReference w:type="default" r:id="rId2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85B21" w14:textId="77777777" w:rsidR="00FC4C46" w:rsidRDefault="00FC4C46" w:rsidP="008311E9">
      <w:r>
        <w:separator/>
      </w:r>
    </w:p>
  </w:endnote>
  <w:endnote w:type="continuationSeparator" w:id="0">
    <w:p w14:paraId="4A883466" w14:textId="77777777" w:rsidR="00FC4C46" w:rsidRDefault="00FC4C46" w:rsidP="0083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F8149" w14:textId="77777777" w:rsidR="00FC4C46" w:rsidRDefault="00FC4C46" w:rsidP="008311E9">
      <w:r>
        <w:separator/>
      </w:r>
    </w:p>
  </w:footnote>
  <w:footnote w:type="continuationSeparator" w:id="0">
    <w:p w14:paraId="7D52CACD" w14:textId="77777777" w:rsidR="00FC4C46" w:rsidRDefault="00FC4C46" w:rsidP="00831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80F56" w14:textId="27D43589" w:rsidR="008311E9" w:rsidRPr="008311E9" w:rsidRDefault="008311E9">
    <w:pPr>
      <w:pStyle w:val="Header"/>
      <w:rPr>
        <w:b/>
        <w:bCs/>
      </w:rPr>
    </w:pPr>
    <w:r w:rsidRPr="008311E9">
      <w:rPr>
        <w:b/>
        <w:bCs/>
      </w:rPr>
      <w:t>Investigator Decision Aid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01853"/>
    <w:multiLevelType w:val="hybridMultilevel"/>
    <w:tmpl w:val="36781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53BA5"/>
    <w:multiLevelType w:val="hybridMultilevel"/>
    <w:tmpl w:val="D1EE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86DB2"/>
    <w:multiLevelType w:val="hybridMultilevel"/>
    <w:tmpl w:val="15560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62E05"/>
    <w:multiLevelType w:val="hybridMultilevel"/>
    <w:tmpl w:val="2F4CF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E9"/>
    <w:rsid w:val="00013D47"/>
    <w:rsid w:val="00036178"/>
    <w:rsid w:val="0004015D"/>
    <w:rsid w:val="0005699B"/>
    <w:rsid w:val="00062CBB"/>
    <w:rsid w:val="00092616"/>
    <w:rsid w:val="000C0EDB"/>
    <w:rsid w:val="000C3E6F"/>
    <w:rsid w:val="0010161C"/>
    <w:rsid w:val="0010619B"/>
    <w:rsid w:val="00116DFE"/>
    <w:rsid w:val="00126FA9"/>
    <w:rsid w:val="00145EFA"/>
    <w:rsid w:val="00175EBB"/>
    <w:rsid w:val="00177382"/>
    <w:rsid w:val="00197FB6"/>
    <w:rsid w:val="001A1277"/>
    <w:rsid w:val="001A19E1"/>
    <w:rsid w:val="001A35DD"/>
    <w:rsid w:val="001A6861"/>
    <w:rsid w:val="001B04E8"/>
    <w:rsid w:val="001C5EE2"/>
    <w:rsid w:val="001C77CB"/>
    <w:rsid w:val="001E5A5A"/>
    <w:rsid w:val="001F5E87"/>
    <w:rsid w:val="00221165"/>
    <w:rsid w:val="00222AAC"/>
    <w:rsid w:val="00233FC1"/>
    <w:rsid w:val="00243EA3"/>
    <w:rsid w:val="002619E3"/>
    <w:rsid w:val="00264DD0"/>
    <w:rsid w:val="00273380"/>
    <w:rsid w:val="002919CA"/>
    <w:rsid w:val="002C58F8"/>
    <w:rsid w:val="002E4219"/>
    <w:rsid w:val="002E716E"/>
    <w:rsid w:val="002F3463"/>
    <w:rsid w:val="00321F8F"/>
    <w:rsid w:val="00326E1C"/>
    <w:rsid w:val="00337CA1"/>
    <w:rsid w:val="003508D9"/>
    <w:rsid w:val="0035278F"/>
    <w:rsid w:val="003621D5"/>
    <w:rsid w:val="00367C16"/>
    <w:rsid w:val="00383D12"/>
    <w:rsid w:val="00386183"/>
    <w:rsid w:val="00387B0F"/>
    <w:rsid w:val="003B291D"/>
    <w:rsid w:val="003C79B7"/>
    <w:rsid w:val="003D275B"/>
    <w:rsid w:val="00432A87"/>
    <w:rsid w:val="004449E3"/>
    <w:rsid w:val="00445FEC"/>
    <w:rsid w:val="00477713"/>
    <w:rsid w:val="004A0EF5"/>
    <w:rsid w:val="004A2C83"/>
    <w:rsid w:val="004A3824"/>
    <w:rsid w:val="004B3796"/>
    <w:rsid w:val="004E5538"/>
    <w:rsid w:val="005152B2"/>
    <w:rsid w:val="00524FBC"/>
    <w:rsid w:val="00533D17"/>
    <w:rsid w:val="005D2072"/>
    <w:rsid w:val="006066B2"/>
    <w:rsid w:val="006C1664"/>
    <w:rsid w:val="006D5D70"/>
    <w:rsid w:val="0070038A"/>
    <w:rsid w:val="00711C81"/>
    <w:rsid w:val="007155DD"/>
    <w:rsid w:val="0072308C"/>
    <w:rsid w:val="00734464"/>
    <w:rsid w:val="00745D29"/>
    <w:rsid w:val="00766132"/>
    <w:rsid w:val="00784063"/>
    <w:rsid w:val="007D276A"/>
    <w:rsid w:val="007D7A29"/>
    <w:rsid w:val="007E44FA"/>
    <w:rsid w:val="00801FC6"/>
    <w:rsid w:val="008311E9"/>
    <w:rsid w:val="00855B0B"/>
    <w:rsid w:val="00871210"/>
    <w:rsid w:val="00884711"/>
    <w:rsid w:val="00886354"/>
    <w:rsid w:val="008C4306"/>
    <w:rsid w:val="008F3C16"/>
    <w:rsid w:val="009039E5"/>
    <w:rsid w:val="00951F47"/>
    <w:rsid w:val="0095401B"/>
    <w:rsid w:val="00984D71"/>
    <w:rsid w:val="009A06CC"/>
    <w:rsid w:val="009A33C4"/>
    <w:rsid w:val="009C2A46"/>
    <w:rsid w:val="009D1D32"/>
    <w:rsid w:val="009E5FB7"/>
    <w:rsid w:val="00A32F1C"/>
    <w:rsid w:val="00A434BF"/>
    <w:rsid w:val="00A545CB"/>
    <w:rsid w:val="00A62774"/>
    <w:rsid w:val="00A66273"/>
    <w:rsid w:val="00A669B1"/>
    <w:rsid w:val="00A84766"/>
    <w:rsid w:val="00AE4F3C"/>
    <w:rsid w:val="00B03032"/>
    <w:rsid w:val="00B03A1A"/>
    <w:rsid w:val="00B071A8"/>
    <w:rsid w:val="00B3305D"/>
    <w:rsid w:val="00B51EB2"/>
    <w:rsid w:val="00B523C9"/>
    <w:rsid w:val="00B54A69"/>
    <w:rsid w:val="00B706E5"/>
    <w:rsid w:val="00B85E0C"/>
    <w:rsid w:val="00B91F51"/>
    <w:rsid w:val="00BA56C5"/>
    <w:rsid w:val="00BB4EC7"/>
    <w:rsid w:val="00BD64BC"/>
    <w:rsid w:val="00BE102A"/>
    <w:rsid w:val="00BE5BE9"/>
    <w:rsid w:val="00BF24AD"/>
    <w:rsid w:val="00BF2A65"/>
    <w:rsid w:val="00C078EC"/>
    <w:rsid w:val="00C21E80"/>
    <w:rsid w:val="00C40C86"/>
    <w:rsid w:val="00C55DF0"/>
    <w:rsid w:val="00C77D70"/>
    <w:rsid w:val="00C82007"/>
    <w:rsid w:val="00C946B9"/>
    <w:rsid w:val="00CB5F59"/>
    <w:rsid w:val="00CF1659"/>
    <w:rsid w:val="00CF4A96"/>
    <w:rsid w:val="00D1378B"/>
    <w:rsid w:val="00D174C3"/>
    <w:rsid w:val="00D2758F"/>
    <w:rsid w:val="00D578CD"/>
    <w:rsid w:val="00D7469E"/>
    <w:rsid w:val="00DB3EE9"/>
    <w:rsid w:val="00DC3350"/>
    <w:rsid w:val="00E109DD"/>
    <w:rsid w:val="00E1240B"/>
    <w:rsid w:val="00E50831"/>
    <w:rsid w:val="00E6780B"/>
    <w:rsid w:val="00EA6740"/>
    <w:rsid w:val="00EB006A"/>
    <w:rsid w:val="00EC7A74"/>
    <w:rsid w:val="00EC7E5A"/>
    <w:rsid w:val="00ED0ABE"/>
    <w:rsid w:val="00ED185D"/>
    <w:rsid w:val="00EE0146"/>
    <w:rsid w:val="00EE244D"/>
    <w:rsid w:val="00EE36DC"/>
    <w:rsid w:val="00EF2145"/>
    <w:rsid w:val="00EF7AEF"/>
    <w:rsid w:val="00F02C30"/>
    <w:rsid w:val="00F5500F"/>
    <w:rsid w:val="00F5590F"/>
    <w:rsid w:val="00F6009A"/>
    <w:rsid w:val="00F60165"/>
    <w:rsid w:val="00F834B6"/>
    <w:rsid w:val="00F96620"/>
    <w:rsid w:val="00FA4B47"/>
    <w:rsid w:val="00FC3FFD"/>
    <w:rsid w:val="00FC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0622F"/>
  <w15:chartTrackingRefBased/>
  <w15:docId w15:val="{114F4553-E48C-484D-84F6-95DE9886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1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1E9"/>
  </w:style>
  <w:style w:type="paragraph" w:styleId="Footer">
    <w:name w:val="footer"/>
    <w:basedOn w:val="Normal"/>
    <w:link w:val="FooterChar"/>
    <w:uiPriority w:val="99"/>
    <w:unhideWhenUsed/>
    <w:rsid w:val="008311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1E9"/>
  </w:style>
  <w:style w:type="table" w:styleId="TableGrid">
    <w:name w:val="Table Grid"/>
    <w:basedOn w:val="TableNormal"/>
    <w:uiPriority w:val="39"/>
    <w:rsid w:val="00831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11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11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311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7D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D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D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D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D7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D7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tontario.ca/patients-public/resources-for-engaging-patients/investigator-decision-aid/my-decision/" TargetMode="External"/><Relationship Id="rId13" Type="http://schemas.openxmlformats.org/officeDocument/2006/relationships/hyperlink" Target="https://www.researchnet-recherchenet.ca/rnr16/LoginServlet?language=E" TargetMode="External"/><Relationship Id="rId18" Type="http://schemas.openxmlformats.org/officeDocument/2006/relationships/hyperlink" Target="https://www.ctontario.ca/patients-public/resources-for-engaging-patients/investigator-decision-aid/learn-mor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tontario.ca/patients-public/resources-for-engaging-patients/decision-aids-for-patient-partner-engagement-with-clinical-trials/" TargetMode="External"/><Relationship Id="rId7" Type="http://schemas.openxmlformats.org/officeDocument/2006/relationships/hyperlink" Target="https://www.ctontario.ca/patients-public/resources-for-engaging-patients/investigator-decision-aid/" TargetMode="External"/><Relationship Id="rId12" Type="http://schemas.openxmlformats.org/officeDocument/2006/relationships/hyperlink" Target="https://cihr-irsc.gc.ca/e/38201.html" TargetMode="External"/><Relationship Id="rId17" Type="http://schemas.openxmlformats.org/officeDocument/2006/relationships/hyperlink" Target="https://cihr-irsc.gc.ca/e/3820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ccv-cvc.ca/indexresearcher-eng.frm" TargetMode="External"/><Relationship Id="rId20" Type="http://schemas.openxmlformats.org/officeDocument/2006/relationships/hyperlink" Target="https://www.ctontario.ca/patients-public/resources-for-engaging-patients/investigator-decision-aid/learn-mor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tontario.ca/patients-public/resources-for-engaging-patients/investigator-decision-aid/learn-more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cihr-irsc.gc.ca/e/38201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tontario.ca/patients-public/resources-for-engaging-patients/patient-decision-aid/" TargetMode="External"/><Relationship Id="rId19" Type="http://schemas.openxmlformats.org/officeDocument/2006/relationships/hyperlink" Target="https://readabilityformulas.com/free-readability-formula-test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tontario.ca/patients-public/resources-for-engaging-patients/investigator-decision-aid/learn-more/" TargetMode="External"/><Relationship Id="rId14" Type="http://schemas.openxmlformats.org/officeDocument/2006/relationships/hyperlink" Target="https://cihr-irsc.gc.ca/e/50956.htm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Parry</dc:creator>
  <cp:keywords/>
  <dc:description/>
  <cp:lastModifiedBy>Emily Edwards</cp:lastModifiedBy>
  <cp:revision>2</cp:revision>
  <dcterms:created xsi:type="dcterms:W3CDTF">2020-10-13T13:20:00Z</dcterms:created>
  <dcterms:modified xsi:type="dcterms:W3CDTF">2020-10-13T13:20:00Z</dcterms:modified>
</cp:coreProperties>
</file>